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Lora" w:cs="Lora" w:eastAsia="Lora" w:hAnsi="Lora"/>
          <w:color w:val="1A1A1A"/>
          <w:sz w:val="40"/>
          <w:szCs w:val="40"/>
        </w:rPr>
        <w:t xml:space="preserve">Joshua Kirch</w:t>
      </w:r>
    </w:p>
    <w:p>
      <w:pPr>
        <w:spacing w:after="40"/>
      </w:pPr>
      <w:r>
        <w:rPr>
          <w:rFonts w:ascii="Lora" w:cs="Lora" w:eastAsia="Lora" w:hAnsi="Lora"/>
          <w:i/>
          <w:iCs/>
          <w:color w:val="5A5A5A"/>
          <w:sz w:val="21"/>
          <w:szCs w:val="21"/>
        </w:rPr>
        <w:t xml:space="preserve">Composer</w:t>
      </w:r>
    </w:p>
    <w:p>
      <w:pPr>
        <w:spacing w:after="0"/>
      </w:pPr>
      <w:r>
        <w:rPr>
          <w:rFonts w:ascii="Lora" w:cs="Lora" w:eastAsia="Lora" w:hAnsi="Lora"/>
          <w:color w:val="5A5A5A"/>
          <w:sz w:val="19"/>
          <w:szCs w:val="19"/>
        </w:rPr>
        <w:t xml:space="preserve">Worcester County, Massachusetts   ·   </w:t>
      </w:r>
      <w:hyperlink w:history="1" r:id="rIdaqdaedtpj0viyskzklwuy">
        <w:r>
          <w:rPr>
            <w:rFonts w:ascii="Lora" w:cs="Lora" w:eastAsia="Lora" w:hAnsi="Lora"/>
            <w:color w:val="5A5A5A"/>
            <w:sz w:val="19"/>
            <w:szCs w:val="19"/>
          </w:rPr>
          <w:t xml:space="preserve">joshlkirch@gmail.com</w:t>
        </w:r>
      </w:hyperlink>
      <w:r>
        <w:rPr>
          <w:rFonts w:ascii="Lora" w:cs="Lora" w:eastAsia="Lora" w:hAnsi="Lora"/>
          <w:color w:val="5A5A5A"/>
          <w:sz w:val="19"/>
          <w:szCs w:val="19"/>
        </w:rPr>
        <w:t xml:space="preserve">   ·   </w:t>
      </w:r>
      <w:hyperlink w:history="1" r:id="rId-kc-fkfcn2mdcemj3u1pq">
        <w:r>
          <w:rPr>
            <w:rFonts w:ascii="Lora" w:cs="Lora" w:eastAsia="Lora" w:hAnsi="Lora"/>
            <w:color w:val="5A5A5A"/>
            <w:sz w:val="19"/>
            <w:szCs w:val="19"/>
          </w:rPr>
          <w:t xml:space="preserve">joshuakirch.com</w:t>
        </w:r>
      </w:hyperlink>
    </w:p>
    <w:p>
      <w:pPr>
        <w:pBdr>
          <w:bottom w:val="single" w:color="BBBBBB" w:sz="4" w:space="3"/>
        </w:pBdr>
        <w:spacing w:after="110" w:before="320"/>
      </w:pPr>
      <w:r>
        <w:rPr>
          <w:rFonts w:ascii="Lora" w:cs="Lora" w:eastAsia="Lora" w:hAnsi="Lora"/>
          <w:color w:val="5A5A5A"/>
          <w:spacing w:val="40"/>
          <w:sz w:val="17"/>
          <w:szCs w:val="17"/>
        </w:rPr>
        <w:t xml:space="preserve">SELECTED WORKS</w:t>
      </w:r>
    </w:p>
    <w:p>
      <w:pPr>
        <w:tabs>
          <w:tab w:val="right" w:pos="9648"/>
        </w:tabs>
        <w:spacing w:after="0" w:before="80"/>
      </w:pPr>
      <w:r>
        <w:rPr>
          <w:rFonts w:ascii="Lora" w:cs="Lora" w:eastAsia="Lora" w:hAnsi="Lora"/>
          <w:i/>
          <w:iCs/>
          <w:color w:val="1A1A1A"/>
          <w:sz w:val="21"/>
          <w:szCs w:val="21"/>
        </w:rPr>
        <w:t xml:space="preserve">Winged Witness</w:t>
      </w:r>
      <w:r>
        <w:rPr>
          <w:rFonts w:ascii="Lora" w:cs="Lora" w:eastAsia="Lora" w:hAnsi="Lora"/>
          <w:color w:val="1A1A1A"/>
          <w:sz w:val="21"/>
          <w:szCs w:val="21"/>
        </w:rPr>
        <w:t xml:space="preserve">  —  orchestra</w:t>
      </w:r>
      <w:r>
        <w:rPr>
          <w:rFonts w:ascii="Lora" w:cs="Lora" w:eastAsia="Lora" w:hAnsi="Lora"/>
          <w:color w:val="5A5A5A"/>
          <w:sz w:val="19"/>
          <w:szCs w:val="19"/>
        </w:rPr>
        <w:t xml:space="preserve">	2026</w:t>
      </w:r>
    </w:p>
    <w:p>
      <w:pPr>
        <w:spacing w:after="0" w:before="10"/>
        <w:ind w:left="0"/>
      </w:pPr>
      <w:r>
        <w:rPr>
          <w:rFonts w:ascii="Lora" w:cs="Lora" w:eastAsia="Lora" w:hAnsi="Lora"/>
          <w:color w:val="5A5A5A"/>
          <w:sz w:val="20"/>
          <w:szCs w:val="20"/>
        </w:rPr>
        <w:t xml:space="preserve">Also exists in an earlier version for chamber orchestra.</w:t>
      </w:r>
    </w:p>
    <w:p>
      <w:pPr>
        <w:tabs>
          <w:tab w:val="right" w:pos="9648"/>
        </w:tabs>
        <w:spacing w:after="0" w:before="80"/>
      </w:pPr>
      <w:r>
        <w:rPr>
          <w:rFonts w:ascii="Lora" w:cs="Lora" w:eastAsia="Lora" w:hAnsi="Lora"/>
          <w:i/>
          <w:iCs/>
          <w:color w:val="1A1A1A"/>
          <w:sz w:val="21"/>
          <w:szCs w:val="21"/>
        </w:rPr>
        <w:t xml:space="preserve">Kingdom to Beauty via Foundation</w:t>
      </w:r>
      <w:r>
        <w:rPr>
          <w:rFonts w:ascii="Lora" w:cs="Lora" w:eastAsia="Lora" w:hAnsi="Lora"/>
          <w:color w:val="1A1A1A"/>
          <w:sz w:val="21"/>
          <w:szCs w:val="21"/>
        </w:rPr>
        <w:t xml:space="preserve">  —  full orchestra</w:t>
      </w:r>
    </w:p>
    <w:p>
      <w:pPr>
        <w:tabs>
          <w:tab w:val="right" w:pos="9648"/>
        </w:tabs>
        <w:spacing w:after="0" w:before="80"/>
      </w:pPr>
      <w:r>
        <w:rPr>
          <w:rFonts w:ascii="Lora" w:cs="Lora" w:eastAsia="Lora" w:hAnsi="Lora"/>
          <w:i/>
          <w:iCs/>
          <w:color w:val="1A1A1A"/>
          <w:sz w:val="21"/>
          <w:szCs w:val="21"/>
        </w:rPr>
        <w:t xml:space="preserve">Theodical Lullaby</w:t>
      </w:r>
      <w:r>
        <w:rPr>
          <w:rFonts w:ascii="Lora" w:cs="Lora" w:eastAsia="Lora" w:hAnsi="Lora"/>
          <w:color w:val="1A1A1A"/>
          <w:sz w:val="21"/>
          <w:szCs w:val="21"/>
        </w:rPr>
        <w:t xml:space="preserve">  —  harp and string quartet</w:t>
      </w:r>
      <w:r>
        <w:rPr>
          <w:rFonts w:ascii="Lora" w:cs="Lora" w:eastAsia="Lora" w:hAnsi="Lora"/>
          <w:color w:val="5A5A5A"/>
          <w:sz w:val="19"/>
          <w:szCs w:val="19"/>
        </w:rPr>
        <w:t xml:space="preserve">	2026</w:t>
      </w:r>
    </w:p>
    <w:p>
      <w:pPr>
        <w:tabs>
          <w:tab w:val="right" w:pos="9648"/>
        </w:tabs>
        <w:spacing w:after="0" w:before="80"/>
      </w:pPr>
      <w:r>
        <w:rPr>
          <w:rFonts w:ascii="Lora" w:cs="Lora" w:eastAsia="Lora" w:hAnsi="Lora"/>
          <w:i/>
          <w:iCs/>
          <w:color w:val="1A1A1A"/>
          <w:sz w:val="21"/>
          <w:szCs w:val="21"/>
        </w:rPr>
        <w:t xml:space="preserve">Husks</w:t>
      </w:r>
      <w:r>
        <w:rPr>
          <w:rFonts w:ascii="Lora" w:cs="Lora" w:eastAsia="Lora" w:hAnsi="Lora"/>
          <w:color w:val="1A1A1A"/>
          <w:sz w:val="21"/>
          <w:szCs w:val="21"/>
        </w:rPr>
        <w:t xml:space="preserve">  —  string quintet</w:t>
      </w:r>
      <w:r>
        <w:rPr>
          <w:rFonts w:ascii="Lora" w:cs="Lora" w:eastAsia="Lora" w:hAnsi="Lora"/>
          <w:color w:val="5A5A5A"/>
          <w:sz w:val="19"/>
          <w:szCs w:val="19"/>
        </w:rPr>
        <w:t xml:space="preserve">	2026</w:t>
      </w:r>
    </w:p>
    <w:p>
      <w:pPr>
        <w:spacing w:after="0" w:before="120"/>
      </w:pPr>
      <w:r>
        <w:rPr>
          <w:rFonts w:ascii="Lora" w:cs="Lora" w:eastAsia="Lora" w:hAnsi="Lora"/>
          <w:color w:val="5A5A5A"/>
          <w:sz w:val="19"/>
          <w:szCs w:val="19"/>
        </w:rPr>
        <w:t xml:space="preserve">Current project: </w:t>
      </w:r>
      <w:r>
        <w:rPr>
          <w:rFonts w:ascii="Lora" w:cs="Lora" w:eastAsia="Lora" w:hAnsi="Lora"/>
          <w:i/>
          <w:iCs/>
          <w:color w:val="5A5A5A"/>
          <w:sz w:val="19"/>
          <w:szCs w:val="19"/>
        </w:rPr>
        <w:t xml:space="preserve">Between Above and Below</w:t>
      </w:r>
      <w:r>
        <w:rPr>
          <w:rFonts w:ascii="Lora" w:cs="Lora" w:eastAsia="Lora" w:hAnsi="Lora"/>
          <w:color w:val="5A5A5A"/>
          <w:sz w:val="19"/>
          <w:szCs w:val="19"/>
        </w:rPr>
        <w:t xml:space="preserve">, a cycle of twelve chamber and orchestral works. </w:t>
      </w:r>
      <w:r>
        <w:rPr>
          <w:rFonts w:ascii="Lora" w:cs="Lora" w:eastAsia="Lora" w:hAnsi="Lora"/>
          <w:i/>
          <w:iCs/>
          <w:color w:val="5A5A5A"/>
          <w:sz w:val="19"/>
          <w:szCs w:val="19"/>
        </w:rPr>
        <w:t xml:space="preserve">Husks</w:t>
      </w:r>
      <w:r>
        <w:rPr>
          <w:rFonts w:ascii="Lora" w:cs="Lora" w:eastAsia="Lora" w:hAnsi="Lora"/>
          <w:color w:val="5A5A5A"/>
          <w:sz w:val="19"/>
          <w:szCs w:val="19"/>
        </w:rPr>
        <w:t xml:space="preserve">, </w:t>
      </w:r>
      <w:r>
        <w:rPr>
          <w:rFonts w:ascii="Lora" w:cs="Lora" w:eastAsia="Lora" w:hAnsi="Lora"/>
          <w:i/>
          <w:iCs/>
          <w:color w:val="5A5A5A"/>
          <w:sz w:val="19"/>
          <w:szCs w:val="19"/>
        </w:rPr>
        <w:t xml:space="preserve">Theodical Lullaby</w:t>
      </w:r>
      <w:r>
        <w:rPr>
          <w:rFonts w:ascii="Lora" w:cs="Lora" w:eastAsia="Lora" w:hAnsi="Lora"/>
          <w:color w:val="5A5A5A"/>
          <w:sz w:val="19"/>
          <w:szCs w:val="19"/>
        </w:rPr>
        <w:t xml:space="preserve">, and </w:t>
      </w:r>
      <w:r>
        <w:rPr>
          <w:rFonts w:ascii="Lora" w:cs="Lora" w:eastAsia="Lora" w:hAnsi="Lora"/>
          <w:i/>
          <w:iCs/>
          <w:color w:val="5A5A5A"/>
          <w:sz w:val="19"/>
          <w:szCs w:val="19"/>
        </w:rPr>
        <w:t xml:space="preserve">Winged Witness</w:t>
      </w:r>
      <w:r>
        <w:rPr>
          <w:rFonts w:ascii="Lora" w:cs="Lora" w:eastAsia="Lora" w:hAnsi="Lora"/>
          <w:color w:val="5A5A5A"/>
          <w:sz w:val="19"/>
          <w:szCs w:val="19"/>
        </w:rPr>
        <w:t xml:space="preserve"> are complete; </w:t>
      </w:r>
      <w:r>
        <w:rPr>
          <w:rFonts w:ascii="Lora" w:cs="Lora" w:eastAsia="Lora" w:hAnsi="Lora"/>
          <w:i/>
          <w:iCs/>
          <w:color w:val="5A5A5A"/>
          <w:sz w:val="19"/>
          <w:szCs w:val="19"/>
        </w:rPr>
        <w:t xml:space="preserve">Visions of Splendor</w:t>
      </w:r>
      <w:r>
        <w:rPr>
          <w:rFonts w:ascii="Lora" w:cs="Lora" w:eastAsia="Lora" w:hAnsi="Lora"/>
          <w:color w:val="5A5A5A"/>
          <w:sz w:val="19"/>
          <w:szCs w:val="19"/>
        </w:rPr>
        <w:t xml:space="preserve"> (string quartet) is in progress.</w:t>
      </w:r>
    </w:p>
    <w:p>
      <w:pPr>
        <w:pBdr>
          <w:bottom w:val="single" w:color="BBBBBB" w:sz="4" w:space="3"/>
        </w:pBdr>
        <w:spacing w:after="110" w:before="320"/>
      </w:pPr>
      <w:r>
        <w:rPr>
          <w:rFonts w:ascii="Lora" w:cs="Lora" w:eastAsia="Lora" w:hAnsi="Lora"/>
          <w:color w:val="5A5A5A"/>
          <w:spacing w:val="40"/>
          <w:sz w:val="17"/>
          <w:szCs w:val="17"/>
        </w:rPr>
        <w:t xml:space="preserve">COMPOSITION STUDY</w:t>
      </w:r>
    </w:p>
    <w:p>
      <w:pPr>
        <w:tabs>
          <w:tab w:val="right" w:pos="9648"/>
        </w:tabs>
        <w:spacing w:after="0" w:before="80"/>
      </w:pPr>
      <w:r>
        <w:rPr>
          <w:rFonts w:ascii="Lora" w:cs="Lora" w:eastAsia="Lora" w:hAnsi="Lora"/>
          <w:b/>
          <w:bCs/>
          <w:color w:val="1A1A1A"/>
          <w:sz w:val="21"/>
          <w:szCs w:val="21"/>
        </w:rPr>
        <w:t xml:space="preserve">ScoreClub</w:t>
      </w:r>
      <w:r>
        <w:rPr>
          <w:rFonts w:ascii="Lora" w:cs="Lora" w:eastAsia="Lora" w:hAnsi="Lora"/>
          <w:color w:val="1A1A1A"/>
          <w:sz w:val="21"/>
          <w:szCs w:val="21"/>
        </w:rPr>
        <w:t xml:space="preserve">, with Alain Mayrand</w:t>
      </w:r>
      <w:r>
        <w:rPr>
          <w:rFonts w:ascii="Lora" w:cs="Lora" w:eastAsia="Lora" w:hAnsi="Lora"/>
          <w:color w:val="5A5A5A"/>
          <w:sz w:val="19"/>
          <w:szCs w:val="19"/>
        </w:rPr>
        <w:t xml:space="preserve">	2026–present</w:t>
      </w:r>
    </w:p>
    <w:p>
      <w:pPr>
        <w:spacing w:after="0" w:before="10"/>
        <w:ind w:left="0"/>
      </w:pPr>
      <w:r>
        <w:rPr>
          <w:rFonts w:ascii="Lora" w:cs="Lora" w:eastAsia="Lora" w:hAnsi="Lora"/>
          <w:color w:val="5A5A5A"/>
          <w:sz w:val="20"/>
          <w:szCs w:val="20"/>
        </w:rPr>
        <w:t xml:space="preserve">Modal counterpoint, plainchant, troubadour repertoire, and Bach.</w:t>
      </w:r>
    </w:p>
    <w:p>
      <w:pPr>
        <w:tabs>
          <w:tab w:val="right" w:pos="9648"/>
        </w:tabs>
        <w:spacing w:after="0" w:before="80"/>
      </w:pPr>
      <w:r>
        <w:rPr>
          <w:rFonts w:ascii="Lora" w:cs="Lora" w:eastAsia="Lora" w:hAnsi="Lora"/>
          <w:b/>
          <w:bCs/>
          <w:color w:val="1A1A1A"/>
          <w:sz w:val="21"/>
          <w:szCs w:val="21"/>
        </w:rPr>
        <w:t xml:space="preserve">Independent study</w:t>
      </w:r>
      <w:r>
        <w:rPr>
          <w:rFonts w:ascii="Lora" w:cs="Lora" w:eastAsia="Lora" w:hAnsi="Lora"/>
          <w:color w:val="5A5A5A"/>
          <w:sz w:val="19"/>
          <w:szCs w:val="19"/>
        </w:rPr>
        <w:t xml:space="preserve">	Before 2026</w:t>
      </w:r>
    </w:p>
    <w:p>
      <w:pPr>
        <w:spacing w:after="0" w:before="10"/>
        <w:ind w:left="0"/>
      </w:pPr>
      <w:r>
        <w:rPr>
          <w:rFonts w:ascii="Lora" w:cs="Lora" w:eastAsia="Lora" w:hAnsi="Lora"/>
          <w:color w:val="5A5A5A"/>
          <w:sz w:val="20"/>
          <w:szCs w:val="20"/>
        </w:rPr>
        <w:t xml:space="preserve">Alan Belkin’s composition and orchestration lectures; independent score study.</w:t>
      </w:r>
    </w:p>
    <w:p>
      <w:pPr>
        <w:spacing w:before="90"/>
      </w:pPr>
      <w:r>
        <w:rPr>
          <w:rFonts w:ascii="Lora" w:cs="Lora" w:eastAsia="Lora" w:hAnsi="Lora"/>
          <w:color w:val="5A5A5A"/>
          <w:sz w:val="19"/>
          <w:szCs w:val="19"/>
        </w:rPr>
        <w:t xml:space="preserve">Additional coursework in functional harmony and SATB part-writing.</w:t>
      </w:r>
    </w:p>
    <w:p>
      <w:pPr>
        <w:pBdr>
          <w:bottom w:val="single" w:color="BBBBBB" w:sz="4" w:space="3"/>
        </w:pBdr>
        <w:spacing w:after="110" w:before="320"/>
      </w:pPr>
      <w:r>
        <w:rPr>
          <w:rFonts w:ascii="Lora" w:cs="Lora" w:eastAsia="Lora" w:hAnsi="Lora"/>
          <w:color w:val="5A5A5A"/>
          <w:spacing w:val="40"/>
          <w:sz w:val="17"/>
          <w:szCs w:val="17"/>
        </w:rPr>
        <w:t xml:space="preserve">EDUCATION</w:t>
      </w:r>
    </w:p>
    <w:p>
      <w:pPr>
        <w:tabs>
          <w:tab w:val="right" w:pos="9648"/>
        </w:tabs>
        <w:spacing w:after="0" w:before="80"/>
      </w:pPr>
      <w:r>
        <w:rPr>
          <w:rFonts w:ascii="Lora" w:cs="Lora" w:eastAsia="Lora" w:hAnsi="Lora"/>
          <w:b/>
          <w:bCs/>
          <w:color w:val="1A1A1A"/>
          <w:sz w:val="21"/>
          <w:szCs w:val="21"/>
        </w:rPr>
        <w:t xml:space="preserve">Broome Community College</w:t>
      </w:r>
      <w:r>
        <w:rPr>
          <w:rFonts w:ascii="Lora" w:cs="Lora" w:eastAsia="Lora" w:hAnsi="Lora"/>
          <w:color w:val="1A1A1A"/>
          <w:sz w:val="21"/>
          <w:szCs w:val="21"/>
        </w:rPr>
        <w:t xml:space="preserve">, Binghamton, NY</w:t>
      </w:r>
      <w:r>
        <w:rPr>
          <w:rFonts w:ascii="Lora" w:cs="Lora" w:eastAsia="Lora" w:hAnsi="Lora"/>
          <w:color w:val="5A5A5A"/>
          <w:sz w:val="19"/>
          <w:szCs w:val="19"/>
        </w:rPr>
        <w:t xml:space="preserve">	2005–2007</w:t>
      </w:r>
    </w:p>
    <w:p>
      <w:pPr>
        <w:spacing w:after="0" w:before="10"/>
        <w:ind w:left="0"/>
      </w:pPr>
      <w:r>
        <w:rPr>
          <w:rFonts w:ascii="Lora" w:cs="Lora" w:eastAsia="Lora" w:hAnsi="Lora"/>
          <w:color w:val="5A5A5A"/>
          <w:sz w:val="20"/>
          <w:szCs w:val="20"/>
        </w:rPr>
        <w:t xml:space="preserve">Music studies in composition, theory, and performance.</w:t>
      </w:r>
    </w:p>
    <w:p>
      <w:pPr>
        <w:tabs>
          <w:tab w:val="right" w:pos="9648"/>
        </w:tabs>
        <w:spacing w:after="0" w:before="80"/>
      </w:pPr>
      <w:r>
        <w:rPr>
          <w:rFonts w:ascii="Lora" w:cs="Lora" w:eastAsia="Lora" w:hAnsi="Lora"/>
          <w:b/>
          <w:bCs/>
          <w:color w:val="1A1A1A"/>
          <w:sz w:val="21"/>
          <w:szCs w:val="21"/>
        </w:rPr>
        <w:t xml:space="preserve">Binghamton University</w:t>
      </w:r>
      <w:r>
        <w:rPr>
          <w:rFonts w:ascii="Lora" w:cs="Lora" w:eastAsia="Lora" w:hAnsi="Lora"/>
          <w:color w:val="1A1A1A"/>
          <w:sz w:val="21"/>
          <w:szCs w:val="21"/>
        </w:rPr>
        <w:t xml:space="preserve">, Binghamton, NY</w:t>
      </w:r>
      <w:r>
        <w:rPr>
          <w:rFonts w:ascii="Lora" w:cs="Lora" w:eastAsia="Lora" w:hAnsi="Lora"/>
          <w:color w:val="5A5A5A"/>
          <w:sz w:val="19"/>
          <w:szCs w:val="19"/>
        </w:rPr>
        <w:t xml:space="preserve">	2007–2009</w:t>
      </w:r>
    </w:p>
    <w:p>
      <w:pPr>
        <w:spacing w:after="0" w:before="10"/>
        <w:ind w:left="0"/>
      </w:pPr>
      <w:r>
        <w:rPr>
          <w:rFonts w:ascii="Lora" w:cs="Lora" w:eastAsia="Lora" w:hAnsi="Lora"/>
          <w:color w:val="5A5A5A"/>
          <w:sz w:val="20"/>
          <w:szCs w:val="20"/>
        </w:rPr>
        <w:t xml:space="preserve">Studies in comparative literature and philosophy.</w:t>
      </w:r>
    </w:p>
    <w:p>
      <w:pPr>
        <w:pBdr>
          <w:bottom w:val="single" w:color="BBBBBB" w:sz="4" w:space="3"/>
        </w:pBdr>
        <w:spacing w:after="110" w:before="320"/>
      </w:pPr>
      <w:r>
        <w:rPr>
          <w:rFonts w:ascii="Lora" w:cs="Lora" w:eastAsia="Lora" w:hAnsi="Lora"/>
          <w:color w:val="5A5A5A"/>
          <w:spacing w:val="40"/>
          <w:sz w:val="17"/>
          <w:szCs w:val="17"/>
        </w:rPr>
        <w:t xml:space="preserve">PERFORMANCE</w:t>
      </w:r>
    </w:p>
    <w:p>
      <w:pPr>
        <w:tabs>
          <w:tab w:val="right" w:pos="9648"/>
        </w:tabs>
        <w:spacing w:after="0" w:before="80"/>
      </w:pPr>
      <w:r>
        <w:rPr>
          <w:rFonts w:ascii="Lora" w:cs="Lora" w:eastAsia="Lora" w:hAnsi="Lora"/>
          <w:b/>
          <w:bCs/>
          <w:color w:val="1A1A1A"/>
          <w:sz w:val="21"/>
          <w:szCs w:val="21"/>
        </w:rPr>
        <w:t xml:space="preserve">Classical guitar</w:t>
      </w:r>
    </w:p>
    <w:p>
      <w:pPr>
        <w:spacing w:after="0" w:before="10"/>
        <w:ind w:left="0"/>
      </w:pPr>
      <w:r>
        <w:rPr>
          <w:rFonts w:ascii="Lora" w:cs="Lora" w:eastAsia="Lora" w:hAnsi="Lora"/>
          <w:color w:val="5A5A5A"/>
          <w:sz w:val="20"/>
          <w:szCs w:val="20"/>
        </w:rPr>
        <w:t xml:space="preserve">Former member of a classical guitar quartet, including informal readings.</w:t>
      </w:r>
    </w:p>
    <w:p>
      <w:pPr>
        <w:tabs>
          <w:tab w:val="right" w:pos="9648"/>
        </w:tabs>
        <w:spacing w:after="0" w:before="80"/>
      </w:pPr>
      <w:r>
        <w:rPr>
          <w:rFonts w:ascii="Lora" w:cs="Lora" w:eastAsia="Lora" w:hAnsi="Lora"/>
          <w:b/>
          <w:bCs/>
          <w:color w:val="1A1A1A"/>
          <w:sz w:val="21"/>
          <w:szCs w:val="21"/>
        </w:rPr>
        <w:t xml:space="preserve">Cello</w:t>
      </w:r>
      <w:r>
        <w:rPr>
          <w:rFonts w:ascii="Lora" w:cs="Lora" w:eastAsia="Lora" w:hAnsi="Lora"/>
          <w:color w:val="1A1A1A"/>
          <w:sz w:val="21"/>
          <w:szCs w:val="21"/>
        </w:rPr>
        <w:t xml:space="preserve">, private lessons</w:t>
      </w:r>
    </w:p>
    <w:p>
      <w:pPr>
        <w:tabs>
          <w:tab w:val="right" w:pos="9648"/>
        </w:tabs>
        <w:spacing w:after="0" w:before="80"/>
      </w:pPr>
      <w:r>
        <w:rPr>
          <w:rFonts w:ascii="Lora" w:cs="Lora" w:eastAsia="Lora" w:hAnsi="Lora"/>
          <w:b/>
          <w:bCs/>
          <w:color w:val="1A1A1A"/>
          <w:sz w:val="21"/>
          <w:szCs w:val="21"/>
        </w:rPr>
        <w:t xml:space="preserve">Lute</w:t>
      </w:r>
      <w:r>
        <w:rPr>
          <w:rFonts w:ascii="Lora" w:cs="Lora" w:eastAsia="Lora" w:hAnsi="Lora"/>
          <w:color w:val="1A1A1A"/>
          <w:sz w:val="21"/>
          <w:szCs w:val="21"/>
        </w:rPr>
        <w:t xml:space="preserve">, self-taught from tablature and historical tutors</w:t>
      </w:r>
    </w:p>
    <w:p>
      <w:pPr>
        <w:pBdr>
          <w:bottom w:val="single" w:color="BBBBBB" w:sz="4" w:space="3"/>
        </w:pBdr>
        <w:spacing w:after="110" w:before="320"/>
      </w:pPr>
      <w:r>
        <w:rPr>
          <w:rFonts w:ascii="Lora" w:cs="Lora" w:eastAsia="Lora" w:hAnsi="Lora"/>
          <w:color w:val="5A5A5A"/>
          <w:spacing w:val="40"/>
          <w:sz w:val="17"/>
          <w:szCs w:val="17"/>
        </w:rPr>
        <w:t xml:space="preserve">SCORE PREPARATION</w:t>
      </w:r>
    </w:p>
    <w:p>
      <w:pPr>
        <w:spacing w:before="60"/>
      </w:pPr>
      <w:r>
        <w:rPr>
          <w:rFonts w:ascii="Lora" w:cs="Lora" w:eastAsia="Lora" w:hAnsi="Lora"/>
          <w:color w:val="1A1A1A"/>
          <w:sz w:val="21"/>
          <w:szCs w:val="21"/>
        </w:rPr>
        <w:t xml:space="preserve">Dorico for engraving full scores and parts. Mockups in Cubase with BBC Symphony Orchestra Pro, Pēteris Vasks Strings, and NotePerformer.</w:t>
      </w:r>
    </w:p>
    <w:p>
      <w:pPr>
        <w:pBdr>
          <w:bottom w:val="single" w:color="BBBBBB" w:sz="4" w:space="3"/>
        </w:pBdr>
        <w:spacing w:after="110" w:before="320"/>
      </w:pPr>
      <w:r>
        <w:rPr>
          <w:rFonts w:ascii="Lora" w:cs="Lora" w:eastAsia="Lora" w:hAnsi="Lora"/>
          <w:color w:val="5A5A5A"/>
          <w:spacing w:val="40"/>
          <w:sz w:val="17"/>
          <w:szCs w:val="17"/>
        </w:rPr>
        <w:t xml:space="preserve">PROFESSIONAL</w:t>
      </w:r>
    </w:p>
    <w:p>
      <w:pPr>
        <w:spacing w:before="60"/>
      </w:pPr>
      <w:r>
        <w:rPr>
          <w:rFonts w:ascii="Lora" w:cs="Lora" w:eastAsia="Lora" w:hAnsi="Lora"/>
          <w:color w:val="1A1A1A"/>
          <w:sz w:val="21"/>
          <w:szCs w:val="21"/>
        </w:rPr>
        <w:t xml:space="preserve">Senior software engineer, with more than a decade in the field.</w:t>
      </w:r>
    </w:p>
    <w:sectPr>
      <w:pgSz w:w="12240" w:h="15840" w:orient="portrait"/>
      <w:pgMar w:top="1152" w:right="1296" w:bottom="1080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ora" w:cs="Lora" w:eastAsia="Lora" w:hAnsi="Lor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qdaedtpj0viyskzklwuy" Type="http://schemas.openxmlformats.org/officeDocument/2006/relationships/hyperlink" Target="mailto:joshlkirch@gmail.com" TargetMode="External"/><Relationship Id="rId-kc-fkfcn2mdcemj3u1pq" Type="http://schemas.openxmlformats.org/officeDocument/2006/relationships/hyperlink" Target="https://joshuakirch.com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Joshua Kirch — Composer Vitae</dc:title>
  <dc:creator>Joshua Kirch</dc:creator>
  <cp:lastModifiedBy>Un-named</cp:lastModifiedBy>
  <cp:revision>1</cp:revision>
  <dcterms:created xsi:type="dcterms:W3CDTF">2026-09-11T19:45:04.631Z</dcterms:created>
  <dcterms:modified xsi:type="dcterms:W3CDTF">2026-09-11T19:45:04.631Z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